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8C9F" w14:textId="1AC0D0DC" w:rsidR="0035707E" w:rsidRPr="00B35479" w:rsidRDefault="00B35479" w:rsidP="00B35479">
      <w:pPr>
        <w:tabs>
          <w:tab w:val="left" w:pos="936"/>
        </w:tabs>
        <w:rPr>
          <w:b/>
          <w:bCs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9A35" wp14:editId="147699BB">
                <wp:simplePos x="0" y="0"/>
                <wp:positionH relativeFrom="margin">
                  <wp:posOffset>1943100</wp:posOffset>
                </wp:positionH>
                <wp:positionV relativeFrom="paragraph">
                  <wp:posOffset>76200</wp:posOffset>
                </wp:positionV>
                <wp:extent cx="4038600" cy="2971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1FC72" w14:textId="230F10E1" w:rsidR="00B35479" w:rsidRPr="00B35479" w:rsidRDefault="00B35479" w:rsidP="00B35479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</w:rPr>
                            </w:pPr>
                            <w:r w:rsidRPr="00A27027">
                              <w:rPr>
                                <w:rFonts w:ascii="Abadi" w:hAnsi="Abadi"/>
                                <w:b/>
                                <w:bCs/>
                                <w:noProof/>
                                <w:lang w:eastAsia="en-NZ"/>
                              </w:rPr>
                              <w:t>R</w:t>
                            </w:r>
                            <w:r w:rsidRPr="00A27027">
                              <w:rPr>
                                <w:rFonts w:ascii="Abadi" w:hAnsi="Abadi"/>
                                <w:b/>
                                <w:bCs/>
                              </w:rPr>
                              <w:t>ISK ASSESSMENT FOR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C189A35">
                <v:stroke joinstyle="miter"/>
                <v:path gradientshapeok="t" o:connecttype="rect"/>
              </v:shapetype>
              <v:shape id="Text Box 2" style="position:absolute;margin-left:153pt;margin-top:6pt;width:31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">
                <v:textbox>
                  <w:txbxContent>
                    <w:p w:rsidRPr="00B35479" w:rsidR="00B35479" w:rsidP="00B35479" w:rsidRDefault="00B35479" w14:paraId="28A1FC72" w14:textId="230F10E1">
                      <w:pPr>
                        <w:shd w:val="clear" w:color="auto" w:fill="FFF2CC" w:themeFill="accent4" w:themeFillTint="33"/>
                        <w:jc w:val="center"/>
                        <w:rPr>
                          <w:rFonts w:ascii="Abadi Extra Light" w:hAnsi="Abadi Extra Light"/>
                          <w:b/>
                          <w:bCs/>
                        </w:rPr>
                      </w:pPr>
                      <w:r w:rsidRPr="00A27027">
                        <w:rPr>
                          <w:rFonts w:ascii="Abadi" w:hAnsi="Abadi"/>
                          <w:b/>
                          <w:bCs/>
                          <w:noProof/>
                          <w:lang w:eastAsia="en-NZ"/>
                        </w:rPr>
                        <w:t>R</w:t>
                      </w:r>
                      <w:r w:rsidRPr="00A27027">
                        <w:rPr>
                          <w:rFonts w:ascii="Abadi" w:hAnsi="Abadi"/>
                          <w:b/>
                          <w:bCs/>
                        </w:rPr>
                        <w:t>ISK ASSESSMENT FOR</w:t>
                      </w:r>
                      <w:r>
                        <w:rPr>
                          <w:rFonts w:ascii="Abadi" w:hAnsi="Abadi"/>
                          <w:b/>
                          <w:bCs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5559656" wp14:editId="5F7532FD">
            <wp:extent cx="1165860" cy="1189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95" cy="12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35707E" w14:paraId="4E336849" w14:textId="77777777" w:rsidTr="008D6F01">
        <w:tc>
          <w:tcPr>
            <w:tcW w:w="2411" w:type="dxa"/>
          </w:tcPr>
          <w:p w14:paraId="018BB6EE" w14:textId="7D3CD0EB" w:rsidR="0035707E" w:rsidRPr="0035707E" w:rsidRDefault="0035707E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ACTIVITY:</w:t>
            </w:r>
          </w:p>
        </w:tc>
        <w:tc>
          <w:tcPr>
            <w:tcW w:w="7371" w:type="dxa"/>
          </w:tcPr>
          <w:p w14:paraId="67F5726B" w14:textId="3B20B839" w:rsidR="0035707E" w:rsidRDefault="003570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Manea Footprints of Kupe Ltd </w:t>
            </w:r>
          </w:p>
        </w:tc>
      </w:tr>
      <w:tr w:rsidR="0035707E" w14:paraId="58E67F0B" w14:textId="77777777" w:rsidTr="008D6F01">
        <w:tc>
          <w:tcPr>
            <w:tcW w:w="2411" w:type="dxa"/>
          </w:tcPr>
          <w:p w14:paraId="25348FAA" w14:textId="17FD8FF5" w:rsidR="0035707E" w:rsidRPr="0035707E" w:rsidRDefault="0035707E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DATE:</w:t>
            </w:r>
          </w:p>
        </w:tc>
        <w:tc>
          <w:tcPr>
            <w:tcW w:w="7371" w:type="dxa"/>
          </w:tcPr>
          <w:p w14:paraId="6C7829BF" w14:textId="77777777" w:rsidR="0035707E" w:rsidRDefault="0035707E">
            <w:pPr>
              <w:rPr>
                <w:b/>
                <w:bCs/>
              </w:rPr>
            </w:pPr>
          </w:p>
        </w:tc>
      </w:tr>
      <w:tr w:rsidR="0035707E" w14:paraId="00F00571" w14:textId="77777777" w:rsidTr="008D6F01">
        <w:tc>
          <w:tcPr>
            <w:tcW w:w="2411" w:type="dxa"/>
          </w:tcPr>
          <w:p w14:paraId="1DA4B02D" w14:textId="731D672D" w:rsidR="0035707E" w:rsidRPr="0035707E" w:rsidRDefault="008D6F01">
            <w:pPr>
              <w:rPr>
                <w:rFonts w:ascii="Abadi Extra Light" w:hAnsi="Abadi Extra Light"/>
                <w:b/>
                <w:bCs/>
              </w:rPr>
            </w:pPr>
            <w:r>
              <w:rPr>
                <w:rFonts w:ascii="Abadi Extra Light" w:hAnsi="Abadi Extra Light"/>
                <w:b/>
                <w:bCs/>
              </w:rPr>
              <w:t xml:space="preserve">OPERATIONS </w:t>
            </w:r>
            <w:r w:rsidR="0035707E" w:rsidRPr="0035707E">
              <w:rPr>
                <w:rFonts w:ascii="Abadi Extra Light" w:hAnsi="Abadi Extra Light"/>
                <w:b/>
                <w:bCs/>
              </w:rPr>
              <w:t>MANAGER:</w:t>
            </w:r>
          </w:p>
        </w:tc>
        <w:tc>
          <w:tcPr>
            <w:tcW w:w="7371" w:type="dxa"/>
          </w:tcPr>
          <w:p w14:paraId="52076665" w14:textId="139C3975" w:rsidR="0035707E" w:rsidRDefault="008D6F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Shane </w:t>
            </w:r>
            <w:proofErr w:type="spellStart"/>
            <w:r>
              <w:rPr>
                <w:b/>
                <w:bCs/>
              </w:rPr>
              <w:t>Llyodd</w:t>
            </w:r>
            <w:proofErr w:type="spellEnd"/>
          </w:p>
        </w:tc>
      </w:tr>
      <w:tr w:rsidR="0035707E" w14:paraId="10EA6DF9" w14:textId="77777777" w:rsidTr="008D6F01">
        <w:tc>
          <w:tcPr>
            <w:tcW w:w="2411" w:type="dxa"/>
          </w:tcPr>
          <w:p w14:paraId="130D5DE0" w14:textId="0674FB3B" w:rsidR="0035707E" w:rsidRPr="0035707E" w:rsidRDefault="0035707E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GROUP:</w:t>
            </w:r>
          </w:p>
        </w:tc>
        <w:tc>
          <w:tcPr>
            <w:tcW w:w="7371" w:type="dxa"/>
          </w:tcPr>
          <w:p w14:paraId="02D71918" w14:textId="77777777" w:rsidR="0035707E" w:rsidRDefault="0035707E">
            <w:pPr>
              <w:rPr>
                <w:b/>
                <w:bCs/>
              </w:rPr>
            </w:pPr>
          </w:p>
        </w:tc>
      </w:tr>
      <w:tr w:rsidR="0035707E" w14:paraId="30AC1472" w14:textId="77777777" w:rsidTr="008D6F01">
        <w:tc>
          <w:tcPr>
            <w:tcW w:w="2411" w:type="dxa"/>
          </w:tcPr>
          <w:p w14:paraId="0C89A6CB" w14:textId="78F7CA0C" w:rsidR="0035707E" w:rsidRPr="0035707E" w:rsidRDefault="0035707E">
            <w:pPr>
              <w:rPr>
                <w:rFonts w:ascii="Abadi Extra Light" w:hAnsi="Abadi Extra Light"/>
                <w:b/>
                <w:bCs/>
              </w:rPr>
            </w:pPr>
            <w:r w:rsidRPr="0035707E">
              <w:rPr>
                <w:rFonts w:ascii="Abadi Extra Light" w:hAnsi="Abadi Extra Light"/>
                <w:b/>
                <w:bCs/>
              </w:rPr>
              <w:t>LOCATION:</w:t>
            </w:r>
          </w:p>
        </w:tc>
        <w:tc>
          <w:tcPr>
            <w:tcW w:w="7371" w:type="dxa"/>
          </w:tcPr>
          <w:p w14:paraId="17D0647F" w14:textId="5063CB5B" w:rsidR="0035707E" w:rsidRDefault="00A8A26B">
            <w:pPr>
              <w:rPr>
                <w:b/>
                <w:bCs/>
              </w:rPr>
            </w:pPr>
            <w:r w:rsidRPr="04DB74CA">
              <w:rPr>
                <w:b/>
                <w:bCs/>
              </w:rPr>
              <w:t xml:space="preserve">49 Hokianga Harbour Drive, </w:t>
            </w:r>
            <w:proofErr w:type="spellStart"/>
            <w:r w:rsidRPr="04DB74CA">
              <w:rPr>
                <w:b/>
                <w:bCs/>
              </w:rPr>
              <w:t>Opononi</w:t>
            </w:r>
            <w:proofErr w:type="spellEnd"/>
            <w:r w:rsidRPr="04DB74CA">
              <w:rPr>
                <w:b/>
                <w:bCs/>
              </w:rPr>
              <w:t>, Hokianga 0473</w:t>
            </w:r>
          </w:p>
        </w:tc>
      </w:tr>
    </w:tbl>
    <w:p w14:paraId="4035953C" w14:textId="0E003746" w:rsidR="0035707E" w:rsidRDefault="0035707E">
      <w:pPr>
        <w:rPr>
          <w:b/>
          <w:bCs/>
        </w:rPr>
      </w:pPr>
    </w:p>
    <w:tbl>
      <w:tblPr>
        <w:tblStyle w:val="TableGrid"/>
        <w:tblW w:w="7938" w:type="dxa"/>
        <w:tblInd w:w="1555" w:type="dxa"/>
        <w:tblLook w:val="04A0" w:firstRow="1" w:lastRow="0" w:firstColumn="1" w:lastColumn="0" w:noHBand="0" w:noVBand="1"/>
      </w:tblPr>
      <w:tblGrid>
        <w:gridCol w:w="1417"/>
        <w:gridCol w:w="1418"/>
        <w:gridCol w:w="1559"/>
        <w:gridCol w:w="1701"/>
        <w:gridCol w:w="1843"/>
      </w:tblGrid>
      <w:tr w:rsidR="00CD0523" w14:paraId="57E1C106" w14:textId="77777777" w:rsidTr="00B35479">
        <w:trPr>
          <w:trHeight w:val="347"/>
        </w:trPr>
        <w:tc>
          <w:tcPr>
            <w:tcW w:w="7938" w:type="dxa"/>
            <w:gridSpan w:val="5"/>
            <w:shd w:val="clear" w:color="auto" w:fill="FFF2CC" w:themeFill="accent4" w:themeFillTint="33"/>
          </w:tcPr>
          <w:p w14:paraId="1A660BDC" w14:textId="11324F23" w:rsidR="00CD0523" w:rsidRDefault="00CD0523" w:rsidP="00B35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RISKS (LOSSES)</w:t>
            </w:r>
          </w:p>
        </w:tc>
      </w:tr>
      <w:tr w:rsidR="00CD0523" w14:paraId="1CCB1ABA" w14:textId="77777777" w:rsidTr="00B35479">
        <w:tc>
          <w:tcPr>
            <w:tcW w:w="1417" w:type="dxa"/>
            <w:shd w:val="clear" w:color="auto" w:fill="E2EFD9" w:themeFill="accent6" w:themeFillTint="33"/>
          </w:tcPr>
          <w:p w14:paraId="0AB6F5AC" w14:textId="40BCFAA0" w:rsidR="00CD0523" w:rsidRDefault="00CD0523" w:rsidP="00CD052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7FB8FF1" w14:textId="2CE7AA16" w:rsidR="00CD0523" w:rsidRDefault="00CD0523" w:rsidP="00CD052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8CDDCD3" w14:textId="4E74DF4A" w:rsidR="00CD0523" w:rsidRDefault="00CD0523" w:rsidP="00CD052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9D8769" w14:textId="74A6F6CA" w:rsidR="00CD0523" w:rsidRDefault="00CD0523" w:rsidP="00CD052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2608B42" w14:textId="4456AC94" w:rsidR="00CD0523" w:rsidRDefault="00CD0523" w:rsidP="00CD052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D0523" w14:paraId="6E0FAC44" w14:textId="77777777" w:rsidTr="00B35479">
        <w:tc>
          <w:tcPr>
            <w:tcW w:w="1417" w:type="dxa"/>
          </w:tcPr>
          <w:p w14:paraId="36CD0A71" w14:textId="6670D1ED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Death or injury from collision with car or bus.</w:t>
            </w:r>
          </w:p>
        </w:tc>
        <w:tc>
          <w:tcPr>
            <w:tcW w:w="1418" w:type="dxa"/>
          </w:tcPr>
          <w:p w14:paraId="74072CF9" w14:textId="77777777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Children going missing.</w:t>
            </w:r>
          </w:p>
          <w:p w14:paraId="731665B8" w14:textId="77777777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9B4562" w14:textId="77777777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Asthma attacks, epileptic seizures.</w:t>
            </w:r>
          </w:p>
          <w:p w14:paraId="3D49276D" w14:textId="77777777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8E8746" w14:textId="77777777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Sunburn (if doing activities outdoors).</w:t>
            </w:r>
          </w:p>
          <w:p w14:paraId="3A7A4382" w14:textId="77777777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CB3EE" w14:textId="693924DE" w:rsidR="00CD0523" w:rsidRPr="00B35479" w:rsidRDefault="00CD0523" w:rsidP="00CD0523">
            <w:pPr>
              <w:rPr>
                <w:b/>
                <w:bCs/>
                <w:sz w:val="20"/>
                <w:szCs w:val="20"/>
              </w:rPr>
            </w:pPr>
            <w:r w:rsidRPr="00B35479">
              <w:rPr>
                <w:b/>
                <w:bCs/>
                <w:sz w:val="20"/>
                <w:szCs w:val="20"/>
              </w:rPr>
              <w:t>Falls or slips</w:t>
            </w:r>
          </w:p>
        </w:tc>
      </w:tr>
    </w:tbl>
    <w:p w14:paraId="0D915D9A" w14:textId="77777777" w:rsidR="00170E6F" w:rsidRDefault="00170E6F" w:rsidP="5DA42C66">
      <w:pPr>
        <w:rPr>
          <w:b/>
          <w:bCs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170E6F" w14:paraId="4C6F03DD" w14:textId="77777777" w:rsidTr="008D6F01">
        <w:tc>
          <w:tcPr>
            <w:tcW w:w="4939" w:type="dxa"/>
          </w:tcPr>
          <w:p w14:paraId="11E512EF" w14:textId="17D30FC4" w:rsidR="00170E6F" w:rsidRDefault="00170E6F">
            <w:pPr>
              <w:rPr>
                <w:b/>
                <w:bCs/>
              </w:rPr>
            </w:pPr>
            <w:r>
              <w:rPr>
                <w:b/>
                <w:bCs/>
              </w:rPr>
              <w:t>Casual Factors</w:t>
            </w:r>
          </w:p>
        </w:tc>
        <w:tc>
          <w:tcPr>
            <w:tcW w:w="4985" w:type="dxa"/>
          </w:tcPr>
          <w:p w14:paraId="1C1428D4" w14:textId="03CFF091" w:rsidR="00170E6F" w:rsidRDefault="00170E6F">
            <w:pPr>
              <w:rPr>
                <w:b/>
                <w:bCs/>
              </w:rPr>
            </w:pPr>
            <w:r>
              <w:rPr>
                <w:b/>
                <w:bCs/>
              </w:rPr>
              <w:t>Risk Reduction Strategies</w:t>
            </w:r>
          </w:p>
        </w:tc>
      </w:tr>
      <w:tr w:rsidR="00170E6F" w14:paraId="70FEC72F" w14:textId="77777777" w:rsidTr="008D6F01">
        <w:tc>
          <w:tcPr>
            <w:tcW w:w="4939" w:type="dxa"/>
          </w:tcPr>
          <w:p w14:paraId="14DC59B8" w14:textId="2377151F" w:rsidR="00170E6F" w:rsidRDefault="00170E6F">
            <w:pPr>
              <w:rPr>
                <w:rFonts w:ascii="Abadi Extra Light" w:hAnsi="Abadi Extra Light"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b/>
                <w:bCs/>
                <w:sz w:val="20"/>
                <w:szCs w:val="20"/>
              </w:rPr>
              <w:t>People: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  </w:t>
            </w:r>
          </w:p>
          <w:p w14:paraId="2A71FC5D" w14:textId="77777777" w:rsidR="00B35479" w:rsidRPr="00B35479" w:rsidRDefault="00B35479">
            <w:pPr>
              <w:rPr>
                <w:rFonts w:ascii="Abadi Extra Light" w:hAnsi="Abadi Extra Light"/>
                <w:sz w:val="20"/>
                <w:szCs w:val="20"/>
              </w:rPr>
            </w:pPr>
          </w:p>
          <w:p w14:paraId="0ACECCEE" w14:textId="7C642F7F" w:rsidR="00170E6F" w:rsidRPr="00B35479" w:rsidRDefault="00170E6F" w:rsidP="009C658D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Children not following guidelines set by teachers and </w:t>
            </w:r>
            <w:r w:rsidR="00F96526" w:rsidRPr="04DB74CA">
              <w:rPr>
                <w:rFonts w:ascii="Abadi Extra Light" w:hAnsi="Abadi Extra Light"/>
                <w:sz w:val="20"/>
                <w:szCs w:val="20"/>
              </w:rPr>
              <w:t>Manea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staff.  </w:t>
            </w:r>
          </w:p>
          <w:p w14:paraId="04DE7122" w14:textId="2A7F2348" w:rsidR="00170E6F" w:rsidRPr="00B35479" w:rsidRDefault="00170E6F" w:rsidP="009C658D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Inadequate supervision of children during the visit. </w:t>
            </w:r>
          </w:p>
          <w:p w14:paraId="6FD06F13" w14:textId="5755D62C" w:rsidR="00170E6F" w:rsidRPr="00B35479" w:rsidRDefault="00170E6F" w:rsidP="009C658D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Careless drivers.  </w:t>
            </w:r>
          </w:p>
          <w:p w14:paraId="05D19D7E" w14:textId="0C19D466" w:rsidR="00170E6F" w:rsidRPr="00B35479" w:rsidRDefault="00170E6F" w:rsidP="009C658D">
            <w:pPr>
              <w:pStyle w:val="ListParagraph"/>
              <w:numPr>
                <w:ilvl w:val="0"/>
                <w:numId w:val="3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Failure to carry medication for those children with medical </w:t>
            </w:r>
            <w:proofErr w:type="gramStart"/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conditions,  </w:t>
            </w:r>
            <w:proofErr w:type="spellStart"/>
            <w:r w:rsidRPr="04DB74CA">
              <w:rPr>
                <w:rFonts w:ascii="Abadi Extra Light" w:hAnsi="Abadi Extra Light"/>
                <w:sz w:val="20"/>
                <w:szCs w:val="20"/>
              </w:rPr>
              <w:t>ie</w:t>
            </w:r>
            <w:proofErr w:type="spellEnd"/>
            <w:proofErr w:type="gramEnd"/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. asthma, epilepsy.  </w:t>
            </w:r>
          </w:p>
          <w:p w14:paraId="59F40DA0" w14:textId="658F3D35" w:rsidR="00170E6F" w:rsidRPr="00B35479" w:rsidRDefault="00170E6F" w:rsidP="04DB74C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Children not using precautions against the sun, </w:t>
            </w:r>
            <w:proofErr w:type="spellStart"/>
            <w:r w:rsidRPr="04DB74CA">
              <w:rPr>
                <w:rFonts w:ascii="Abadi Extra Light" w:hAnsi="Abadi Extra Light"/>
                <w:sz w:val="20"/>
                <w:szCs w:val="20"/>
              </w:rPr>
              <w:t>eg.</w:t>
            </w:r>
            <w:proofErr w:type="spellEnd"/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sunblock, hats.</w:t>
            </w:r>
          </w:p>
        </w:tc>
        <w:tc>
          <w:tcPr>
            <w:tcW w:w="4985" w:type="dxa"/>
          </w:tcPr>
          <w:p w14:paraId="1EE632DB" w14:textId="77777777" w:rsidR="00F96526" w:rsidRPr="00B35479" w:rsidRDefault="00F96526" w:rsidP="0088631B">
            <w:pPr>
              <w:pStyle w:val="ListParagraph"/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</w:p>
          <w:p w14:paraId="47E3C3B8" w14:textId="200B8DE8" w:rsidR="00F96526" w:rsidRPr="00B35479" w:rsidRDefault="00170E6F" w:rsidP="0088631B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Make sure children are attentive to all safety instructions given by teachers and </w:t>
            </w:r>
            <w:r w:rsidR="00F96526" w:rsidRPr="04DB74CA">
              <w:rPr>
                <w:rFonts w:ascii="Abadi Extra Light" w:hAnsi="Abadi Extra Light"/>
                <w:sz w:val="20"/>
                <w:szCs w:val="20"/>
              </w:rPr>
              <w:t>Manea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staff.   Ensure students are fully </w:t>
            </w:r>
            <w:proofErr w:type="gramStart"/>
            <w:r w:rsidRPr="04DB74CA">
              <w:rPr>
                <w:rFonts w:ascii="Abadi Extra Light" w:hAnsi="Abadi Extra Light"/>
                <w:sz w:val="20"/>
                <w:szCs w:val="20"/>
              </w:rPr>
              <w:t>supervised at all times</w:t>
            </w:r>
            <w:proofErr w:type="gramEnd"/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during their visit</w:t>
            </w:r>
            <w:r w:rsidR="009C658D" w:rsidRPr="04DB74CA">
              <w:rPr>
                <w:rFonts w:ascii="Abadi Extra Light" w:hAnsi="Abadi Extra Light"/>
                <w:sz w:val="20"/>
                <w:szCs w:val="20"/>
              </w:rPr>
              <w:t xml:space="preserve"> by their school.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 </w:t>
            </w:r>
          </w:p>
          <w:p w14:paraId="28D15F9F" w14:textId="764FC6EF" w:rsidR="00F96526" w:rsidRPr="00B35479" w:rsidRDefault="00170E6F" w:rsidP="0088631B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Warn children to take care when crossing the car park and teachers to supervise.   </w:t>
            </w:r>
          </w:p>
          <w:p w14:paraId="02D2DE45" w14:textId="6D8FADDE" w:rsidR="009C658D" w:rsidRPr="00B35479" w:rsidRDefault="00170E6F" w:rsidP="0088631B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Ensure children or teachers are carrying any necessary medication for any students’ specific medical needs. </w:t>
            </w:r>
          </w:p>
          <w:p w14:paraId="02BB92E3" w14:textId="7ED10D24" w:rsidR="00170E6F" w:rsidRPr="00B35479" w:rsidRDefault="52AF2315" w:rsidP="0088631B">
            <w:pPr>
              <w:pStyle w:val="ListParagraph"/>
              <w:numPr>
                <w:ilvl w:val="0"/>
                <w:numId w:val="7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5DA42C66">
              <w:rPr>
                <w:rFonts w:ascii="Abadi Extra Light" w:hAnsi="Abadi Extra Light"/>
                <w:sz w:val="20"/>
                <w:szCs w:val="20"/>
              </w:rPr>
              <w:t>Schools e</w:t>
            </w:r>
            <w:r w:rsidR="00170E6F" w:rsidRPr="5DA42C66">
              <w:rPr>
                <w:rFonts w:ascii="Abadi Extra Light" w:hAnsi="Abadi Extra Light"/>
                <w:sz w:val="20"/>
                <w:szCs w:val="20"/>
              </w:rPr>
              <w:t>nsure that, before the visit, all children taking part in outdoor activities have sunblock and a hat</w:t>
            </w:r>
            <w:r w:rsidR="00170E6F" w:rsidRPr="5DA42C66">
              <w:rPr>
                <w:rFonts w:ascii="Abadi Extra Light" w:hAnsi="Abadi Extra Light"/>
                <w:b/>
                <w:bCs/>
                <w:sz w:val="20"/>
                <w:szCs w:val="20"/>
              </w:rPr>
              <w:t>.</w:t>
            </w:r>
          </w:p>
        </w:tc>
      </w:tr>
      <w:tr w:rsidR="00170E6F" w14:paraId="22A193BF" w14:textId="77777777" w:rsidTr="008D6F01">
        <w:tc>
          <w:tcPr>
            <w:tcW w:w="4939" w:type="dxa"/>
          </w:tcPr>
          <w:p w14:paraId="5DDB2F37" w14:textId="299A8B0F" w:rsidR="00F96526" w:rsidRDefault="00F96526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b/>
                <w:bCs/>
                <w:sz w:val="20"/>
                <w:szCs w:val="20"/>
              </w:rPr>
              <w:t xml:space="preserve">Environment:  </w:t>
            </w:r>
          </w:p>
          <w:p w14:paraId="28D58C60" w14:textId="77777777" w:rsidR="00B35479" w:rsidRPr="00B35479" w:rsidRDefault="00B35479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</w:p>
          <w:p w14:paraId="0C7D118F" w14:textId="18863BEA" w:rsidR="00F96526" w:rsidRPr="00B35479" w:rsidRDefault="00F96526" w:rsidP="009C658D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>Busy car park outside the front door of Manea</w:t>
            </w:r>
          </w:p>
          <w:p w14:paraId="45C4FBA2" w14:textId="62849818" w:rsidR="00F96526" w:rsidRPr="00B35479" w:rsidRDefault="00F96526" w:rsidP="009C658D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>Dark atmosphere inside</w:t>
            </w:r>
            <w:r w:rsidR="009C658D" w:rsidRPr="04DB74CA">
              <w:rPr>
                <w:rFonts w:ascii="Abadi Extra Light" w:hAnsi="Abadi Extra Light"/>
                <w:sz w:val="20"/>
                <w:szCs w:val="20"/>
              </w:rPr>
              <w:t xml:space="preserve"> theatre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may cause disorientation.</w:t>
            </w:r>
          </w:p>
          <w:p w14:paraId="5FA54FF0" w14:textId="6773E945" w:rsidR="00F96526" w:rsidRPr="00B35479" w:rsidRDefault="009C658D" w:rsidP="009C658D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>Lighting</w:t>
            </w:r>
            <w:r w:rsidR="00F96526" w:rsidRPr="04DB74CA">
              <w:rPr>
                <w:rFonts w:ascii="Abadi Extra Light" w:hAnsi="Abadi Extra Light"/>
                <w:sz w:val="20"/>
                <w:szCs w:val="20"/>
              </w:rPr>
              <w:t xml:space="preserve"> in the 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>theatre</w:t>
            </w:r>
            <w:r w:rsidR="00F96526" w:rsidRPr="04DB74CA">
              <w:rPr>
                <w:rFonts w:ascii="Abadi Extra Light" w:hAnsi="Abadi Extra Light"/>
                <w:sz w:val="20"/>
                <w:szCs w:val="20"/>
              </w:rPr>
              <w:t xml:space="preserve"> may induce epileptic seizures.  </w:t>
            </w:r>
          </w:p>
          <w:p w14:paraId="792C432B" w14:textId="64C8F3E0" w:rsidR="00170E6F" w:rsidRPr="00B35479" w:rsidRDefault="00F96526" w:rsidP="009C658D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The nature of the </w:t>
            </w:r>
            <w:r w:rsidR="009C658D" w:rsidRPr="04DB74CA">
              <w:rPr>
                <w:rFonts w:ascii="Abadi Extra Light" w:hAnsi="Abadi Extra Light"/>
                <w:sz w:val="20"/>
                <w:szCs w:val="20"/>
              </w:rPr>
              <w:t>4D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show may induce motion sickness in some susceptible people.</w:t>
            </w:r>
          </w:p>
        </w:tc>
        <w:tc>
          <w:tcPr>
            <w:tcW w:w="4985" w:type="dxa"/>
          </w:tcPr>
          <w:p w14:paraId="5AB30276" w14:textId="7FFBBB39" w:rsidR="00F96526" w:rsidRPr="00B35479" w:rsidRDefault="00F96526" w:rsidP="0088631B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Teachers must warn students of the risks of the park and supervise students alighting from vehicles and crossing the car park. </w:t>
            </w:r>
          </w:p>
          <w:p w14:paraId="0F07CC3F" w14:textId="73F6516E" w:rsidR="00F96526" w:rsidRPr="00B35479" w:rsidRDefault="00F96526" w:rsidP="0088631B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>Manea staff will advise students that the light level in th</w:t>
            </w:r>
            <w:r w:rsidR="009C658D" w:rsidRPr="04DB74CA">
              <w:rPr>
                <w:rFonts w:ascii="Abadi Extra Light" w:hAnsi="Abadi Extra Light"/>
                <w:sz w:val="20"/>
                <w:szCs w:val="20"/>
              </w:rPr>
              <w:t>eatre</w:t>
            </w: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 is lower and to watch their step. They will also ensure the light levels are appropriate.   </w:t>
            </w:r>
          </w:p>
          <w:p w14:paraId="1D7701C1" w14:textId="7BE9775B" w:rsidR="00F96526" w:rsidRPr="00B35479" w:rsidRDefault="00F96526" w:rsidP="0088631B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 xml:space="preserve">In the case of an epileptic seizure, staff will ensure the person is kept safe during seizure, then call ambulance.  </w:t>
            </w:r>
          </w:p>
          <w:p w14:paraId="3219CB86" w14:textId="59687E8C" w:rsidR="00170E6F" w:rsidRPr="00B35479" w:rsidRDefault="00F96526" w:rsidP="0088631B">
            <w:pPr>
              <w:pStyle w:val="ListParagraph"/>
              <w:numPr>
                <w:ilvl w:val="0"/>
                <w:numId w:val="8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5DA42C66">
              <w:rPr>
                <w:rFonts w:ascii="Abadi Extra Light" w:hAnsi="Abadi Extra Light"/>
                <w:sz w:val="20"/>
                <w:szCs w:val="20"/>
              </w:rPr>
              <w:t xml:space="preserve">Manea staff will inform people before show starts of the possibility of motion sickness and inform them to look away from the screen until their stomach </w:t>
            </w:r>
            <w:r w:rsidR="05234CA1" w:rsidRPr="5DA42C66">
              <w:rPr>
                <w:rFonts w:ascii="Abadi Extra Light" w:hAnsi="Abadi Extra Light"/>
                <w:sz w:val="20"/>
                <w:szCs w:val="20"/>
              </w:rPr>
              <w:t>settles or</w:t>
            </w:r>
            <w:r w:rsidRPr="5DA42C66">
              <w:rPr>
                <w:rFonts w:ascii="Abadi Extra Light" w:hAnsi="Abadi Extra Light"/>
                <w:sz w:val="20"/>
                <w:szCs w:val="20"/>
              </w:rPr>
              <w:t xml:space="preserve"> remove them from the theatre if severe.</w:t>
            </w:r>
          </w:p>
        </w:tc>
      </w:tr>
      <w:tr w:rsidR="00170E6F" w14:paraId="24F8C173" w14:textId="77777777" w:rsidTr="008D6F01">
        <w:tc>
          <w:tcPr>
            <w:tcW w:w="4939" w:type="dxa"/>
          </w:tcPr>
          <w:p w14:paraId="6755A571" w14:textId="77777777" w:rsidR="00B35479" w:rsidRDefault="009C658D" w:rsidP="009C658D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b/>
                <w:bCs/>
                <w:sz w:val="20"/>
                <w:szCs w:val="20"/>
              </w:rPr>
              <w:t xml:space="preserve">Equipment: </w:t>
            </w:r>
          </w:p>
          <w:p w14:paraId="173BAF62" w14:textId="71EB34CE" w:rsidR="009C658D" w:rsidRPr="00B35479" w:rsidRDefault="009C658D" w:rsidP="009C658D">
            <w:p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b/>
                <w:bCs/>
                <w:sz w:val="20"/>
                <w:szCs w:val="20"/>
              </w:rPr>
              <w:t xml:space="preserve"> </w:t>
            </w:r>
          </w:p>
          <w:p w14:paraId="67C3FA7F" w14:textId="1105EFAB" w:rsidR="009C658D" w:rsidRPr="00B35479" w:rsidRDefault="00676D04" w:rsidP="009C658D">
            <w:pPr>
              <w:pStyle w:val="ListParagraph"/>
              <w:numPr>
                <w:ilvl w:val="0"/>
                <w:numId w:val="4"/>
              </w:numPr>
              <w:rPr>
                <w:rFonts w:ascii="Abadi Extra Light" w:hAnsi="Abadi Extra Light"/>
                <w:b/>
                <w:bCs/>
                <w:sz w:val="20"/>
                <w:szCs w:val="20"/>
              </w:rPr>
            </w:pPr>
            <w:r w:rsidRPr="04DB74CA">
              <w:rPr>
                <w:rFonts w:ascii="Abadi Extra Light" w:hAnsi="Abadi Extra Light"/>
                <w:sz w:val="20"/>
                <w:szCs w:val="20"/>
              </w:rPr>
              <w:t>Manea buildings and equipment.</w:t>
            </w:r>
          </w:p>
          <w:p w14:paraId="2BADC57A" w14:textId="2AB1CB0C" w:rsidR="00170E6F" w:rsidRPr="00B35479" w:rsidRDefault="00170E6F" w:rsidP="009C658D">
            <w:pPr>
              <w:tabs>
                <w:tab w:val="left" w:pos="139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</w:tcPr>
          <w:p w14:paraId="2DAAA536" w14:textId="2B1F853F" w:rsidR="00170E6F" w:rsidRPr="00B35479" w:rsidRDefault="00170E6F">
            <w:pPr>
              <w:rPr>
                <w:b/>
                <w:bCs/>
                <w:sz w:val="20"/>
                <w:szCs w:val="20"/>
              </w:rPr>
            </w:pPr>
          </w:p>
          <w:p w14:paraId="7347919C" w14:textId="70D3B703" w:rsidR="0088631B" w:rsidRPr="00B35479" w:rsidRDefault="0088631B" w:rsidP="00CD0523">
            <w:pPr>
              <w:pStyle w:val="ListParagraph"/>
              <w:numPr>
                <w:ilvl w:val="0"/>
                <w:numId w:val="9"/>
              </w:numPr>
              <w:rPr>
                <w:rFonts w:ascii="Abadi Extra Light" w:hAnsi="Abadi Extra Light"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sz w:val="20"/>
                <w:szCs w:val="20"/>
              </w:rPr>
              <w:t>Manea meets all safety and compliance building standards.</w:t>
            </w:r>
          </w:p>
          <w:p w14:paraId="447DB0E9" w14:textId="0520E41B" w:rsidR="00676D04" w:rsidRPr="00B35479" w:rsidRDefault="00676D04" w:rsidP="00CD0523">
            <w:pPr>
              <w:pStyle w:val="ListParagraph"/>
              <w:numPr>
                <w:ilvl w:val="0"/>
                <w:numId w:val="9"/>
              </w:numPr>
              <w:rPr>
                <w:rFonts w:ascii="Abadi Extra Light" w:hAnsi="Abadi Extra Light"/>
                <w:sz w:val="20"/>
                <w:szCs w:val="20"/>
              </w:rPr>
            </w:pPr>
            <w:r w:rsidRPr="00B35479">
              <w:rPr>
                <w:rFonts w:ascii="Abadi Extra Light" w:hAnsi="Abadi Extra Light"/>
                <w:sz w:val="20"/>
                <w:szCs w:val="20"/>
              </w:rPr>
              <w:t xml:space="preserve">Manea buildings and equipment is regularly </w:t>
            </w:r>
            <w:proofErr w:type="gramStart"/>
            <w:r w:rsidRPr="00B35479">
              <w:rPr>
                <w:rFonts w:ascii="Abadi Extra Light" w:hAnsi="Abadi Extra Light"/>
                <w:sz w:val="20"/>
                <w:szCs w:val="20"/>
              </w:rPr>
              <w:t>checked</w:t>
            </w:r>
            <w:proofErr w:type="gramEnd"/>
            <w:r w:rsidRPr="00B35479">
              <w:rPr>
                <w:rFonts w:ascii="Abadi Extra Light" w:hAnsi="Abadi Extra Light"/>
                <w:sz w:val="20"/>
                <w:szCs w:val="20"/>
              </w:rPr>
              <w:t xml:space="preserve"> and any hazards identified and </w:t>
            </w:r>
            <w:r w:rsidR="0088631B" w:rsidRPr="00B35479">
              <w:rPr>
                <w:rFonts w:ascii="Abadi Extra Light" w:hAnsi="Abadi Extra Light"/>
                <w:sz w:val="20"/>
                <w:szCs w:val="20"/>
              </w:rPr>
              <w:t>fixed before schools can visit.</w:t>
            </w:r>
          </w:p>
        </w:tc>
      </w:tr>
    </w:tbl>
    <w:p w14:paraId="7E3A4C25" w14:textId="2372BC3E" w:rsidR="0035707E" w:rsidRPr="00D963FE" w:rsidRDefault="0035707E">
      <w:pPr>
        <w:rPr>
          <w:b/>
          <w:bCs/>
        </w:rPr>
      </w:pPr>
    </w:p>
    <w:sectPr w:rsidR="0035707E" w:rsidRPr="00D96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mso5E5E"/>
      </v:shape>
    </w:pict>
  </w:numPicBullet>
  <w:abstractNum w:abstractNumId="0" w15:restartNumberingAfterBreak="0">
    <w:nsid w:val="0B2E1B1D"/>
    <w:multiLevelType w:val="hybridMultilevel"/>
    <w:tmpl w:val="95F2F7F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10E8"/>
    <w:multiLevelType w:val="hybridMultilevel"/>
    <w:tmpl w:val="8C90F26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20D2"/>
    <w:multiLevelType w:val="hybridMultilevel"/>
    <w:tmpl w:val="7C48670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34C"/>
    <w:multiLevelType w:val="hybridMultilevel"/>
    <w:tmpl w:val="0E64726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59D1"/>
    <w:multiLevelType w:val="hybridMultilevel"/>
    <w:tmpl w:val="AE42C7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67C9"/>
    <w:multiLevelType w:val="hybridMultilevel"/>
    <w:tmpl w:val="C9729A4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1BC"/>
    <w:multiLevelType w:val="hybridMultilevel"/>
    <w:tmpl w:val="F862736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57D1"/>
    <w:multiLevelType w:val="hybridMultilevel"/>
    <w:tmpl w:val="4CC0EB54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55D4F"/>
    <w:multiLevelType w:val="hybridMultilevel"/>
    <w:tmpl w:val="F7CAB5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FE"/>
    <w:rsid w:val="00170E6F"/>
    <w:rsid w:val="0027351C"/>
    <w:rsid w:val="0035707E"/>
    <w:rsid w:val="00676D04"/>
    <w:rsid w:val="0088631B"/>
    <w:rsid w:val="008D6F01"/>
    <w:rsid w:val="009C658D"/>
    <w:rsid w:val="00A27027"/>
    <w:rsid w:val="00A8A26B"/>
    <w:rsid w:val="00B35479"/>
    <w:rsid w:val="00CD0523"/>
    <w:rsid w:val="00D963FE"/>
    <w:rsid w:val="00F82BAF"/>
    <w:rsid w:val="00F96526"/>
    <w:rsid w:val="03413F1A"/>
    <w:rsid w:val="04DB74CA"/>
    <w:rsid w:val="05234CA1"/>
    <w:rsid w:val="09008B9F"/>
    <w:rsid w:val="1059B8C9"/>
    <w:rsid w:val="151D84B1"/>
    <w:rsid w:val="52AF2315"/>
    <w:rsid w:val="54AC3CDC"/>
    <w:rsid w:val="5DA42C66"/>
    <w:rsid w:val="6D7A15DE"/>
    <w:rsid w:val="6D8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4D93"/>
  <w15:chartTrackingRefBased/>
  <w15:docId w15:val="{E1CFE1AC-8299-4C34-872F-E59AD9C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64AE0.42EA4F3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12D9B-B728-4C2C-A167-B761C8C43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CE220-7B87-4AE3-8C35-77E54CFF6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EE6A7-423A-4D4A-8550-6757F59F0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c99e-a5e3-460d-ac8a-58b9c59fe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maneaeducation@gmail.com</dc:creator>
  <cp:keywords/>
  <dc:description/>
  <cp:lastModifiedBy>Maria Barnes</cp:lastModifiedBy>
  <cp:revision>2</cp:revision>
  <dcterms:created xsi:type="dcterms:W3CDTF">2021-08-05T01:56:00Z</dcterms:created>
  <dcterms:modified xsi:type="dcterms:W3CDTF">2021-08-05T01:56:00Z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